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152" w:rsidRPr="00A35152" w:rsidRDefault="00A35152" w:rsidP="00A35152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A35152">
        <w:rPr>
          <w:rFonts w:ascii="Times New Roman" w:hAnsi="Times New Roman" w:cs="Times New Roman"/>
          <w:sz w:val="24"/>
          <w:szCs w:val="24"/>
        </w:rPr>
        <w:t>№</w:t>
      </w:r>
      <w:r w:rsidRPr="00A35152">
        <w:rPr>
          <w:rFonts w:ascii="Times New Roman" w:hAnsi="Times New Roman" w:cs="Times New Roman"/>
          <w:sz w:val="24"/>
          <w:szCs w:val="24"/>
        </w:rPr>
        <w:t xml:space="preserve"> </w:t>
      </w:r>
      <w:r w:rsidRPr="00A35152">
        <w:rPr>
          <w:rFonts w:ascii="Times New Roman" w:hAnsi="Times New Roman" w:cs="Times New Roman"/>
          <w:sz w:val="24"/>
          <w:szCs w:val="24"/>
        </w:rPr>
        <w:t>3</w:t>
      </w:r>
    </w:p>
    <w:p w:rsidR="00A35152" w:rsidRPr="00A35152" w:rsidRDefault="00A35152" w:rsidP="00A3515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A35152" w:rsidRPr="00A35152" w:rsidRDefault="00A35152" w:rsidP="00A3515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A35152" w:rsidRPr="00A35152" w:rsidRDefault="00A35152" w:rsidP="00A35152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«Управление государственными финансами и регулирование межбюджетных отношений», </w:t>
      </w:r>
    </w:p>
    <w:p w:rsidR="00A35152" w:rsidRPr="00A35152" w:rsidRDefault="00A35152" w:rsidP="00A35152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</w:t>
      </w:r>
    </w:p>
    <w:p w:rsidR="00A35152" w:rsidRPr="00A35152" w:rsidRDefault="00A35152" w:rsidP="00A35152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6D43CC" w:rsidRPr="00A35152" w:rsidRDefault="00A35152" w:rsidP="00A35152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от </w:t>
      </w:r>
      <w:r w:rsidRPr="00A35152">
        <w:rPr>
          <w:rFonts w:ascii="Times New Roman" w:hAnsi="Times New Roman" w:cs="Times New Roman"/>
          <w:sz w:val="24"/>
          <w:szCs w:val="24"/>
        </w:rPr>
        <w:t>25</w:t>
      </w:r>
      <w:r w:rsidRPr="00A35152">
        <w:rPr>
          <w:rFonts w:ascii="Times New Roman" w:hAnsi="Times New Roman" w:cs="Times New Roman"/>
          <w:sz w:val="24"/>
          <w:szCs w:val="24"/>
        </w:rPr>
        <w:t xml:space="preserve">.12.2019 № </w:t>
      </w:r>
      <w:r w:rsidRPr="00A35152">
        <w:rPr>
          <w:rFonts w:ascii="Times New Roman" w:hAnsi="Times New Roman" w:cs="Times New Roman"/>
          <w:sz w:val="24"/>
          <w:szCs w:val="24"/>
        </w:rPr>
        <w:t>695</w:t>
      </w:r>
      <w:r w:rsidRPr="00A35152">
        <w:rPr>
          <w:rFonts w:ascii="Times New Roman" w:hAnsi="Times New Roman" w:cs="Times New Roman"/>
          <w:sz w:val="24"/>
          <w:szCs w:val="24"/>
        </w:rPr>
        <w:t>-П</w:t>
      </w:r>
    </w:p>
    <w:p w:rsidR="00A35152" w:rsidRPr="00A35152" w:rsidRDefault="00A35152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5152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5152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МЕСТНЫМ БЮДЖЕТАМ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5152">
        <w:rPr>
          <w:rFonts w:ascii="Times New Roman" w:hAnsi="Times New Roman" w:cs="Times New Roman"/>
          <w:b/>
          <w:bCs/>
          <w:sz w:val="24"/>
          <w:szCs w:val="24"/>
        </w:rPr>
        <w:t>ИЗ ОБЛАСТНОГО БЮДЖЕТА НА ВЫПОЛНЕНИЕ РАСХОДНЫХ ОБЯЗАТЕЛЬСТВ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5152">
        <w:rPr>
          <w:rFonts w:ascii="Times New Roman" w:hAnsi="Times New Roman" w:cs="Times New Roman"/>
          <w:b/>
          <w:bCs/>
          <w:sz w:val="24"/>
          <w:szCs w:val="24"/>
        </w:rPr>
        <w:t>МУНИЦИПАЛЬНЫХ ОБРАЗОВАНИЙ ОБЛАСТИ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1. Порядок предоставления и распределения субсидии местным бюджетам из областного бюджета на выполнение расходных обязательств муниципальных образований области (далее - Порядок) устанавливает правила предоставления и распределения субсидии местным бюджетам из областного бюджета на выполнение расходных обязательств муниципальных образований области между муниципальными районами (муниципальными округами, городскими округами) Кировской области (далее - субсидия).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2. Субсидии предоставляются в целях софинансирования отдельных расходных обязательств муниципальных образований области: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по оплате труда и уплате взносов по обязательному социальному страхованию на выплаты по оплате труда;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по расчетам за коммунальные услуги и топливо;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по уплате органами местного самоуправления и муниципальными учреждениями налога на имущество организаций.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3. Субсидии предоставляются министерством финансов Кировской области (далее - министерство).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4. Субсидии предоставляются муниципальным районам, муниципальным округам, городским округам Кировской области.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5. Размер субсидии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муниципальному району (муниципальному округу, городскому округу) (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>) на соответствующий финансовый год определяется по следующей формуле: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441575" cy="2762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180975" cy="2762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расчетный объем расходных обязательств муниципальных организаций (учреждений) и органов местного самоуправления по оплате труда и уплате взносов по обязательному социальному страхованию на выплаты по оплате труда, расчетам за коммунальные услуги и топливо, а также иных расходных обязательств органов местного самоуправления;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15900" cy="2762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расчетный объем расходных обязательств муниципальных организаций (учреждений) и органов местного самоуправления по уплате налога на имущество организаций;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198120" cy="2762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расчетный объем расходных обязательств муниципальных организаций (учреждений) на повышение заработной платы педагогических работников муниципальных учреждений дополнительного образования детей в соответствии с </w:t>
      </w:r>
      <w:hyperlink r:id="rId10" w:history="1">
        <w:r w:rsidRPr="00A35152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A3515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01.06.2012 N 761 "О Национальной стратегии действий в интересах детей на 2012 - 2017 годы";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lastRenderedPageBreak/>
        <w:drawing>
          <wp:inline distT="0" distB="0" distL="0" distR="0">
            <wp:extent cx="215900" cy="2762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расчетный объем расходных обязательств муниципальных организаций (учреждений) на повышение заработной платы работников муниципальных учреждений культуры в соответствии с </w:t>
      </w:r>
      <w:hyperlink r:id="rId12" w:history="1">
        <w:r w:rsidRPr="00A35152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A3515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N 597 "О мероприятиях по реализации социальной политики";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198120" cy="2762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расчетный объем расходных обязательств муниципальных организаций (учреждений) и органов местного самоуправления на повышение минимального размера оплаты труда и заработной платы работников муниципальных организаций (учреждений) и органов местного самоуправления на текущий финансовый год;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15900" cy="2762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расчетный объем расходных обязательств муниципальных дошкольных образовательных организаций по оплате труда и уплате взносов по обязательному социальному страхованию на выплаты по оплате труда в связи с изменением численности работников обслуживающего персонала при увеличении (сокращении) групп в муниципальных дошкольных образовательных организациях на текущий финансовый год.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6. Расчетный объем расходных обязательств муниципальных организаций (учреждений) и органов местного самоуправления по оплате труда и уплате взносов по обязательному социальному страхованию на выплаты по оплате труда, расчетам за коммунальные услуги и топливо, а также иных расходных обязательств органов местного самоуправления </w:t>
      </w: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10515" cy="2762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рассчитывается по формуле: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743200" cy="2762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76225" cy="2762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расходные обязательства муниципальных организаций (учреждений) и органов местного самоуправления по оплате труда и уплате взносов по обязательному социальному страхованию на выплаты по оплате труда консолидированного бюджета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(бюджета муниципального округа, бюджета городского округа) на текущий финансовый год;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76225" cy="2762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расходные обязательства муниципальных образований области по расчетам за коммунальные услуги и топливо консолидированного бюджета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(бюджета муниципального округа, бюджета городского округа) на соответствующий финансовый год;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84480" cy="276225"/>
            <wp:effectExtent l="0" t="0" r="127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иные расходные обязательства органов местного самоуправления на соответствующий финансовый год, рассчитываемые по формуле: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1294130" cy="276225"/>
            <wp:effectExtent l="0" t="0" r="127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152">
        <w:rPr>
          <w:rFonts w:ascii="Times New Roman" w:hAnsi="Times New Roman" w:cs="Times New Roman"/>
          <w:sz w:val="24"/>
          <w:szCs w:val="24"/>
        </w:rPr>
        <w:t>R</w:t>
      </w:r>
      <w:r w:rsidRPr="00A3515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- объем репрезентативных расходов консолидированного бюджета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(бюджета муниципального округа, бюджета городского округа) на соответствующий финансовый год в соответствии с перечнем муниципальных услуг, утверждаемым постановлением Правительства Кировской области;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U - коэффициент для расчета иных расходных обязательств органов местного самоуправления на соответствующий финансовый год;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27660" cy="2762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финансовая помощь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муниципальному району (муниципальному округу, городскому округу) на соответствующий финансовый год из областного бюджета, включающая в себя дотации на выравнивание бюджетной обеспеченности муниципальных районов (муниципальных округов, городских округов) (без учета ее частичной замены дополнительными нормативами отчислений в бюджеты муниципальных районов от налога на доходы физических лиц), субвенции на выполнение государственных полномочий Кировской области по расчету и предоставлению дотаций бюджетам поселений;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152">
        <w:rPr>
          <w:rFonts w:ascii="Times New Roman" w:hAnsi="Times New Roman" w:cs="Times New Roman"/>
          <w:sz w:val="24"/>
          <w:szCs w:val="24"/>
        </w:rPr>
        <w:lastRenderedPageBreak/>
        <w:t>D</w:t>
      </w:r>
      <w:r w:rsidRPr="00A3515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- прогноз налоговых и неналоговых доходов консолидированного бюджета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(бюджета муниципального округа, бюджета городского округа) на соответствующий финансовый год, рассчитываемый по формуле: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458720" cy="2762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62585" cy="2762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налоговый потенциал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(муниципального округа, городского округа), рассчитанный в соответствии с Порядком распределения дотаций на выравнивание бюджетной обеспеченности муниципальных районов (муниципальных округов, городских округов) и поселений, методикой распределения указанных дотаций и порядком определения критерия выравнивания расчетной бюджетной обеспеченности муниципальных районов (муниципальных округов, городских округов), утвержденным </w:t>
      </w:r>
      <w:hyperlink r:id="rId24" w:history="1">
        <w:r w:rsidRPr="00A3515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35152">
        <w:rPr>
          <w:rFonts w:ascii="Times New Roman" w:hAnsi="Times New Roman" w:cs="Times New Roman"/>
          <w:sz w:val="24"/>
          <w:szCs w:val="24"/>
        </w:rPr>
        <w:t xml:space="preserve"> Кировской области от 28.09.2007 N 163-ЗО "О межбюджетных отношениях в Кировской области";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96875" cy="276225"/>
            <wp:effectExtent l="0" t="0" r="317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понижающий коэффициент по налогу на доходы физических лиц, рассчитываемый по формуле: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785620" cy="310515"/>
            <wp:effectExtent l="0" t="0" r="508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414020" cy="310515"/>
            <wp:effectExtent l="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соотношение роста поступлений налога на доходы физических лиц в консолидированные бюджеты муниципальных районов (бюджеты муниципальных округов, бюджеты городских округов) в среднем по Кировской области в соответствующем финансовом году к отчетному финансовому году (без учета поступлений налога на доходы физических лиц по дополнительным нормативам отчислений в местные бюджеты);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414020" cy="276225"/>
            <wp:effectExtent l="0" t="0" r="508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соотношение роста поступлений налога на доходы физических лиц в консолидированный бюджет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(бюджет муниципального округа, бюджет городского округа) в соответствующем финансовом году к отчетному финансовому году (без учета поступлений налога на доходы физических лиц по дополнительным нормативам отчислений).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Для расчета субсидии применяются значения </w:t>
      </w: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673100" cy="2762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>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152">
        <w:rPr>
          <w:rFonts w:ascii="Times New Roman" w:hAnsi="Times New Roman" w:cs="Times New Roman"/>
          <w:sz w:val="24"/>
          <w:szCs w:val="24"/>
        </w:rPr>
        <w:t>k</w:t>
      </w:r>
      <w:r w:rsidRPr="00A35152">
        <w:rPr>
          <w:rFonts w:ascii="Times New Roman" w:hAnsi="Times New Roman" w:cs="Times New Roman"/>
          <w:sz w:val="24"/>
          <w:szCs w:val="24"/>
          <w:vertAlign w:val="superscript"/>
        </w:rPr>
        <w:t>зн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- понижающий коэффициент по земельному налогу, равный удельному весу земельного налога, поступившего </w:t>
      </w:r>
      <w:proofErr w:type="gramStart"/>
      <w:r w:rsidRPr="00A35152">
        <w:rPr>
          <w:rFonts w:ascii="Times New Roman" w:hAnsi="Times New Roman" w:cs="Times New Roman"/>
          <w:sz w:val="24"/>
          <w:szCs w:val="24"/>
        </w:rPr>
        <w:t>в отчетом</w:t>
      </w:r>
      <w:proofErr w:type="gramEnd"/>
      <w:r w:rsidRPr="00A35152">
        <w:rPr>
          <w:rFonts w:ascii="Times New Roman" w:hAnsi="Times New Roman" w:cs="Times New Roman"/>
          <w:sz w:val="24"/>
          <w:szCs w:val="24"/>
        </w:rPr>
        <w:t xml:space="preserve"> финансовом году в консолидированные бюджеты муниципальных районов, в общем объеме налоговых доходов, поступивших в консолидированные бюджеты муниципальных районов в отчетом финансовом году.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Для расчета субсидии применяется 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k</w:t>
      </w:r>
      <w:r w:rsidRPr="00A35152">
        <w:rPr>
          <w:rFonts w:ascii="Times New Roman" w:hAnsi="Times New Roman" w:cs="Times New Roman"/>
          <w:sz w:val="24"/>
          <w:szCs w:val="24"/>
          <w:vertAlign w:val="superscript"/>
        </w:rPr>
        <w:t>зн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698500" cy="276225"/>
            <wp:effectExtent l="0" t="0" r="635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>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414020" cy="276225"/>
            <wp:effectExtent l="0" t="0" r="508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прогноз прочих налоговых и неналоговых доходов (без доходов от продажи материальных и нематериальных активов, доходов от штрафов и прочих доходов от оказания платных услуг (работ) получателями средств местных бюджетов) консолидированного бюджета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(бюджета муниципального округа, бюджета городского округа) на соответствующий финансовый год, по данным органов местного самоуправления муниципальных районов (муниципальных округов, городских округов).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В расчет субсидии принимаются положительные значения показателя </w:t>
      </w: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180975" cy="276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>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7. Расчетный объем расходных обязательств муниципальных организаций (учреждений) и органов местного самоуправления по уплате налога на имущество организаций </w:t>
      </w: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19405" cy="276225"/>
            <wp:effectExtent l="0" t="0" r="444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рассчитывается исходя из прогноза поступлений налога на имущество организаций по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муниципальному району (муниципальному округу, городскому округу) </w:t>
      </w:r>
      <w:r w:rsidRPr="00A35152">
        <w:rPr>
          <w:rFonts w:ascii="Times New Roman" w:hAnsi="Times New Roman" w:cs="Times New Roman"/>
          <w:sz w:val="24"/>
          <w:szCs w:val="24"/>
        </w:rPr>
        <w:lastRenderedPageBreak/>
        <w:t>на соответствующий финансовый год, подлежащего зачислению в областной бюджет, в отношении имущества, учитываемого на балансе органов местного самоуправления и муниципальных организаций (учреждений) в качестве объектов основных средств.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8. Расчетный объем расходных обязательств муниципальных организаций (учреждений) на повышение заработной платы педагогических работников муниципальных учреждений дополнительного образования детей в соответствии с </w:t>
      </w:r>
      <w:hyperlink r:id="rId33" w:history="1">
        <w:r w:rsidRPr="00A35152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A3515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01.06.2012 N 761 "О Национальной стратегии действий в интересах детей на 2012 - 2017 годы" </w:t>
      </w: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19405" cy="276225"/>
            <wp:effectExtent l="0" t="0" r="444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рассчитывается по формуле: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05785" cy="28448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10515" cy="276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среднесписочная численность педагогических работников муниципальных учреждений дополнительного образования детей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(муниципального округа, городского округа);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D - размер доплаты, учитывающий повышение заработной платы педагогических работников муниципальных учреждений дополнительного образования детей;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152">
        <w:rPr>
          <w:rFonts w:ascii="Times New Roman" w:hAnsi="Times New Roman" w:cs="Times New Roman"/>
          <w:sz w:val="24"/>
          <w:szCs w:val="24"/>
        </w:rPr>
        <w:t>K</w:t>
      </w:r>
      <w:r w:rsidRPr="00A35152">
        <w:rPr>
          <w:rFonts w:ascii="Times New Roman" w:hAnsi="Times New Roman" w:cs="Times New Roman"/>
          <w:sz w:val="24"/>
          <w:szCs w:val="24"/>
          <w:vertAlign w:val="subscript"/>
        </w:rPr>
        <w:t>z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- количество месяцев выплаты заработной платы работников муниципальных учреждений;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152">
        <w:rPr>
          <w:rFonts w:ascii="Times New Roman" w:hAnsi="Times New Roman" w:cs="Times New Roman"/>
          <w:sz w:val="24"/>
          <w:szCs w:val="24"/>
        </w:rPr>
        <w:t>K</w:t>
      </w:r>
      <w:r w:rsidRPr="00A35152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- количество месяцев уплаты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С - размер тарифов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 xml:space="preserve">9. Расчетный объем расходных обязательств муниципальных организаций (учреждений) на повышение заработной платы работников муниципальных учреждений культуры в соответствии с </w:t>
      </w:r>
      <w:hyperlink r:id="rId37" w:history="1">
        <w:r w:rsidRPr="00A35152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A3515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N 597 "О мероприятиях по реализации социальной политики" </w:t>
      </w: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19405" cy="276225"/>
            <wp:effectExtent l="0" t="0" r="444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рассчитывается по формуле: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166110" cy="3105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10515" cy="276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152">
        <w:rPr>
          <w:rFonts w:ascii="Times New Roman" w:hAnsi="Times New Roman" w:cs="Times New Roman"/>
          <w:sz w:val="24"/>
          <w:szCs w:val="24"/>
        </w:rPr>
        <w:t xml:space="preserve"> - среднесписочная численность работников муниципальных учреждений культуры i-</w:t>
      </w:r>
      <w:proofErr w:type="spellStart"/>
      <w:r w:rsidRPr="00A351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муниципального района (муниципального округа, городского округа);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152">
        <w:rPr>
          <w:rFonts w:ascii="Times New Roman" w:hAnsi="Times New Roman" w:cs="Times New Roman"/>
          <w:sz w:val="24"/>
          <w:szCs w:val="24"/>
        </w:rPr>
        <w:t>D</w:t>
      </w:r>
      <w:r w:rsidRPr="00A35152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A35152">
        <w:rPr>
          <w:rFonts w:ascii="Times New Roman" w:hAnsi="Times New Roman" w:cs="Times New Roman"/>
          <w:sz w:val="24"/>
          <w:szCs w:val="24"/>
        </w:rPr>
        <w:t xml:space="preserve"> - j-й размер доплаты, учитывающий повышение заработной платы работников муниципальных учреждений культуры.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10. Уровень софинансирования из областного бюджета устанавливается в размере: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95% - для муниципальных районов (муниципальных округов, городских округов), у которых уровень расчетной бюджетной обеспеченности на соответствующий финансовый год составляет более 1;</w:t>
      </w:r>
    </w:p>
    <w:p w:rsidR="006D43CC" w:rsidRPr="00A35152" w:rsidRDefault="006D43CC" w:rsidP="00A35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152">
        <w:rPr>
          <w:rFonts w:ascii="Times New Roman" w:hAnsi="Times New Roman" w:cs="Times New Roman"/>
          <w:sz w:val="24"/>
          <w:szCs w:val="24"/>
        </w:rPr>
        <w:t>99% - для муниципальных районов (муниципальных округов, городских округов), у которых уровень расчетной бюджетной обеспеченности на соответствующий финансовый год составляет менее 1.</w:t>
      </w:r>
    </w:p>
    <w:sectPr w:rsidR="006D43CC" w:rsidRPr="00A35152" w:rsidSect="00A35152">
      <w:headerReference w:type="default" r:id="rId41"/>
      <w:pgSz w:w="11905" w:h="16838"/>
      <w:pgMar w:top="851" w:right="851" w:bottom="851" w:left="1531" w:header="283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152" w:rsidRDefault="00A35152" w:rsidP="00A35152">
      <w:pPr>
        <w:spacing w:after="0" w:line="240" w:lineRule="auto"/>
      </w:pPr>
      <w:r>
        <w:separator/>
      </w:r>
    </w:p>
  </w:endnote>
  <w:endnote w:type="continuationSeparator" w:id="0">
    <w:p w:rsidR="00A35152" w:rsidRDefault="00A35152" w:rsidP="00A35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152" w:rsidRDefault="00A35152" w:rsidP="00A35152">
      <w:pPr>
        <w:spacing w:after="0" w:line="240" w:lineRule="auto"/>
      </w:pPr>
      <w:r>
        <w:separator/>
      </w:r>
    </w:p>
  </w:footnote>
  <w:footnote w:type="continuationSeparator" w:id="0">
    <w:p w:rsidR="00A35152" w:rsidRDefault="00A35152" w:rsidP="00A35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923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35152" w:rsidRPr="00A35152" w:rsidRDefault="00A35152">
        <w:pPr>
          <w:pStyle w:val="a5"/>
          <w:jc w:val="center"/>
          <w:rPr>
            <w:rFonts w:ascii="Times New Roman" w:hAnsi="Times New Roman" w:cs="Times New Roman"/>
          </w:rPr>
        </w:pPr>
        <w:r w:rsidRPr="00A35152">
          <w:rPr>
            <w:rFonts w:ascii="Times New Roman" w:hAnsi="Times New Roman" w:cs="Times New Roman"/>
          </w:rPr>
          <w:fldChar w:fldCharType="begin"/>
        </w:r>
        <w:r w:rsidRPr="00A35152">
          <w:rPr>
            <w:rFonts w:ascii="Times New Roman" w:hAnsi="Times New Roman" w:cs="Times New Roman"/>
          </w:rPr>
          <w:instrText>PAGE   \* MERGEFORMAT</w:instrText>
        </w:r>
        <w:r w:rsidRPr="00A35152">
          <w:rPr>
            <w:rFonts w:ascii="Times New Roman" w:hAnsi="Times New Roman" w:cs="Times New Roman"/>
          </w:rPr>
          <w:fldChar w:fldCharType="separate"/>
        </w:r>
        <w:r w:rsidR="000973CD">
          <w:rPr>
            <w:rFonts w:ascii="Times New Roman" w:hAnsi="Times New Roman" w:cs="Times New Roman"/>
            <w:noProof/>
          </w:rPr>
          <w:t>2</w:t>
        </w:r>
        <w:r w:rsidRPr="00A35152">
          <w:rPr>
            <w:rFonts w:ascii="Times New Roman" w:hAnsi="Times New Roman" w:cs="Times New Roman"/>
          </w:rPr>
          <w:fldChar w:fldCharType="end"/>
        </w:r>
      </w:p>
    </w:sdtContent>
  </w:sdt>
  <w:p w:rsidR="00A35152" w:rsidRDefault="00A3515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mjaxk0qzfEwVqxmMmwsunee2Kw0jCYOy6ply+jVkXPCfoxG03YLXHR830EuMP5WzDSbxcupqttX9O7B3xBRZg==" w:salt="1MdIS/bc13R/iV/tl5IgG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973"/>
    <w:rsid w:val="000973CD"/>
    <w:rsid w:val="00172F16"/>
    <w:rsid w:val="003E0997"/>
    <w:rsid w:val="00442D72"/>
    <w:rsid w:val="005D6C08"/>
    <w:rsid w:val="0061057F"/>
    <w:rsid w:val="006D43CC"/>
    <w:rsid w:val="00750EE0"/>
    <w:rsid w:val="00751A19"/>
    <w:rsid w:val="00834586"/>
    <w:rsid w:val="0093381D"/>
    <w:rsid w:val="00A35152"/>
    <w:rsid w:val="00A758E3"/>
    <w:rsid w:val="00B22790"/>
    <w:rsid w:val="00B6414F"/>
    <w:rsid w:val="00B71160"/>
    <w:rsid w:val="00C82973"/>
    <w:rsid w:val="00D90290"/>
    <w:rsid w:val="00E00B37"/>
    <w:rsid w:val="00F5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06C6"/>
  <w15:docId w15:val="{9C438E7F-91FC-40F3-8585-32B665CCF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29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2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829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82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829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829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829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5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8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5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5152"/>
  </w:style>
  <w:style w:type="paragraph" w:styleId="a7">
    <w:name w:val="footer"/>
    <w:basedOn w:val="a"/>
    <w:link w:val="a8"/>
    <w:uiPriority w:val="99"/>
    <w:unhideWhenUsed/>
    <w:rsid w:val="00A35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5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8.wmf"/><Relationship Id="rId39" Type="http://schemas.openxmlformats.org/officeDocument/2006/relationships/image" Target="media/image29.wmf"/><Relationship Id="rId21" Type="http://schemas.openxmlformats.org/officeDocument/2006/relationships/image" Target="media/image14.wmf"/><Relationship Id="rId34" Type="http://schemas.openxmlformats.org/officeDocument/2006/relationships/image" Target="media/image25.wmf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1.wmf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24" Type="http://schemas.openxmlformats.org/officeDocument/2006/relationships/hyperlink" Target="consultantplus://offline/ref=9F18028B3584B1D799ECE1A33733720B0CAFEA241E48EEC3ED69A1D165374E35331EB484DBB0EED785400E96FA73336EE7T2G7J" TargetMode="External"/><Relationship Id="rId32" Type="http://schemas.openxmlformats.org/officeDocument/2006/relationships/image" Target="media/image24.wmf"/><Relationship Id="rId37" Type="http://schemas.openxmlformats.org/officeDocument/2006/relationships/hyperlink" Target="consultantplus://offline/ref=9F18028B3584B1D799ECFFAE215F2E020DA6BD2A1B4AE79CB23FA7863A674860615EEADD88F2A5DB87581297F8T6GCJ" TargetMode="External"/><Relationship Id="rId40" Type="http://schemas.openxmlformats.org/officeDocument/2006/relationships/image" Target="media/image30.wmf"/><Relationship Id="rId5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0.wmf"/><Relationship Id="rId36" Type="http://schemas.openxmlformats.org/officeDocument/2006/relationships/image" Target="media/image27.wmf"/><Relationship Id="rId10" Type="http://schemas.openxmlformats.org/officeDocument/2006/relationships/hyperlink" Target="consultantplus://offline/ref=9F18028B3584B1D799ECFFAE215F2E020DA7B42C1E48E79CB23FA7863A674860615EEADD88F2A5DB87581297F8T6GCJ" TargetMode="External"/><Relationship Id="rId19" Type="http://schemas.openxmlformats.org/officeDocument/2006/relationships/image" Target="media/image12.wmf"/><Relationship Id="rId31" Type="http://schemas.openxmlformats.org/officeDocument/2006/relationships/image" Target="media/image23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theme" Target="theme/theme1.xml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F18028B3584B1D799ECFFAE215F2E020DA6BD2A1B4AE79CB23FA7863A674860615EEADD88F2A5DB87581297F8T6GCJ" TargetMode="External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hyperlink" Target="consultantplus://offline/ref=9F18028B3584B1D799ECFFAE215F2E020DA7B42C1E48E79CB23FA7863A674860615EEADD88F2A5DB87581297F8T6GCJ" TargetMode="External"/><Relationship Id="rId38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1750</Words>
  <Characters>9978</Characters>
  <Application>Microsoft Office Word</Application>
  <DocSecurity>8</DocSecurity>
  <Lines>83</Lines>
  <Paragraphs>23</Paragraphs>
  <ScaleCrop>false</ScaleCrop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Надежда Юрьевна</dc:creator>
  <cp:lastModifiedBy>Козлова Надежда Юрьевна</cp:lastModifiedBy>
  <cp:revision>20</cp:revision>
  <dcterms:created xsi:type="dcterms:W3CDTF">2020-10-14T14:51:00Z</dcterms:created>
  <dcterms:modified xsi:type="dcterms:W3CDTF">2021-10-28T12:19:00Z</dcterms:modified>
</cp:coreProperties>
</file>